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6745A" w14:textId="02CFDA5A" w:rsidR="00422085" w:rsidRPr="004A4608" w:rsidRDefault="00CE57FE" w:rsidP="0042208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4A4608">
        <w:rPr>
          <w:rFonts w:ascii="Open Sans" w:hAnsi="Open Sans" w:cs="Open Sans"/>
          <w:b/>
          <w:sz w:val="20"/>
          <w:szCs w:val="20"/>
        </w:rPr>
        <w:t xml:space="preserve">Verlaufsplan und Lernzielübersicht </w:t>
      </w:r>
      <w:r w:rsidR="00EF4DC7">
        <w:rPr>
          <w:rFonts w:ascii="Open Sans" w:hAnsi="Open Sans" w:cs="Open Sans"/>
          <w:b/>
          <w:sz w:val="20"/>
          <w:szCs w:val="20"/>
        </w:rPr>
        <w:t>2</w:t>
      </w:r>
      <w:bookmarkStart w:id="0" w:name="_GoBack"/>
      <w:bookmarkEnd w:id="0"/>
      <w:r w:rsidRPr="004A4608">
        <w:rPr>
          <w:rFonts w:ascii="Open Sans" w:hAnsi="Open Sans" w:cs="Open Sans"/>
          <w:b/>
          <w:sz w:val="20"/>
          <w:szCs w:val="20"/>
        </w:rPr>
        <w:t>. DS</w:t>
      </w:r>
    </w:p>
    <w:p w14:paraId="5FF20A59" w14:textId="77777777" w:rsidR="00CE57FE" w:rsidRPr="004A4608" w:rsidRDefault="00CE57FE" w:rsidP="00422085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292CB081" w14:textId="3EF80E17" w:rsidR="00422085" w:rsidRPr="004A4608" w:rsidRDefault="00422085" w:rsidP="005E6CFA">
      <w:pPr>
        <w:spacing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4A4608">
        <w:rPr>
          <w:rFonts w:ascii="Open Sans" w:hAnsi="Open Sans" w:cs="Open Sans"/>
          <w:b/>
          <w:sz w:val="20"/>
          <w:szCs w:val="20"/>
        </w:rPr>
        <w:t>Lern</w:t>
      </w:r>
      <w:r w:rsidR="006100C1">
        <w:rPr>
          <w:rFonts w:ascii="Open Sans" w:hAnsi="Open Sans" w:cs="Open Sans"/>
          <w:b/>
          <w:sz w:val="20"/>
          <w:szCs w:val="20"/>
        </w:rPr>
        <w:t>- und Kompetenzziele</w:t>
      </w:r>
      <w:r w:rsidR="00CE57FE" w:rsidRPr="004A4608">
        <w:rPr>
          <w:rFonts w:ascii="Open Sans" w:hAnsi="Open Sans" w:cs="Open Sans"/>
          <w:b/>
          <w:sz w:val="20"/>
          <w:szCs w:val="20"/>
        </w:rPr>
        <w:t>:</w:t>
      </w:r>
    </w:p>
    <w:p w14:paraId="3DA22091" w14:textId="77777777" w:rsidR="00336A3E" w:rsidRDefault="00422085" w:rsidP="00336A3E">
      <w:p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4A4608">
        <w:rPr>
          <w:rFonts w:ascii="Open Sans" w:hAnsi="Open Sans" w:cs="Open Sans"/>
          <w:bCs/>
          <w:sz w:val="20"/>
          <w:szCs w:val="20"/>
        </w:rPr>
        <w:t>Die Sch</w:t>
      </w:r>
      <w:r w:rsidR="00B42664">
        <w:rPr>
          <w:rFonts w:ascii="Open Sans" w:hAnsi="Open Sans" w:cs="Open Sans"/>
          <w:bCs/>
          <w:sz w:val="20"/>
          <w:szCs w:val="20"/>
        </w:rPr>
        <w:t>ü</w:t>
      </w:r>
      <w:r w:rsidRPr="004A4608">
        <w:rPr>
          <w:rFonts w:ascii="Open Sans" w:hAnsi="Open Sans" w:cs="Open Sans"/>
          <w:bCs/>
          <w:sz w:val="20"/>
          <w:szCs w:val="20"/>
        </w:rPr>
        <w:t>lerinnen und Sch</w:t>
      </w:r>
      <w:r w:rsidR="00B42664">
        <w:rPr>
          <w:rFonts w:ascii="Open Sans" w:hAnsi="Open Sans" w:cs="Open Sans"/>
          <w:bCs/>
          <w:sz w:val="20"/>
          <w:szCs w:val="20"/>
        </w:rPr>
        <w:t>ü</w:t>
      </w:r>
      <w:r w:rsidRPr="004A4608">
        <w:rPr>
          <w:rFonts w:ascii="Open Sans" w:hAnsi="Open Sans" w:cs="Open Sans"/>
          <w:bCs/>
          <w:sz w:val="20"/>
          <w:szCs w:val="20"/>
        </w:rPr>
        <w:t>ler…</w:t>
      </w:r>
    </w:p>
    <w:p w14:paraId="02774611" w14:textId="77777777" w:rsidR="00336A3E" w:rsidRDefault="00336A3E" w:rsidP="00336A3E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36A3E">
        <w:rPr>
          <w:rFonts w:ascii="Open Sans" w:hAnsi="Open Sans" w:cs="Open Sans"/>
          <w:bCs/>
          <w:sz w:val="20"/>
          <w:szCs w:val="20"/>
        </w:rPr>
        <w:t>...erklären die Wesenszüge der Quantenphysik Komplementarität, Statistischer Charakter sowie Eindeutige Messergebnisse am Beispiel des Doppelspaltexperiments mit Einzelphotonen unter Verwendung von Fachbegriffen (Unterscheidbarkeit, Messprozess, Indeterminismus, Weginformation).</w:t>
      </w:r>
    </w:p>
    <w:p w14:paraId="67362262" w14:textId="77777777" w:rsidR="00336A3E" w:rsidRDefault="00336A3E" w:rsidP="00336A3E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36A3E">
        <w:rPr>
          <w:rFonts w:ascii="Open Sans" w:hAnsi="Open Sans" w:cs="Open Sans"/>
          <w:bCs/>
          <w:sz w:val="20"/>
          <w:szCs w:val="20"/>
        </w:rPr>
        <w:t>...arbeiten selbstständig, entdeckend in einem Schülerexperiment zum Doppelspaltexperiment mit Einzelphotonen.</w:t>
      </w:r>
    </w:p>
    <w:p w14:paraId="6C88A3E4" w14:textId="51F21CA0" w:rsidR="00336A3E" w:rsidRPr="00336A3E" w:rsidRDefault="00336A3E" w:rsidP="00336A3E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336A3E">
        <w:rPr>
          <w:rFonts w:ascii="Open Sans" w:hAnsi="Open Sans" w:cs="Open Sans"/>
          <w:bCs/>
          <w:sz w:val="20"/>
          <w:szCs w:val="20"/>
        </w:rPr>
        <w:t>...formulieren unter Verwendung der Wesenszüge der Quantenphysik chronologisch und kausal korrekt strukturiert (K4)</w:t>
      </w:r>
      <w:r>
        <w:rPr>
          <w:rFonts w:ascii="Open Sans" w:hAnsi="Open Sans" w:cs="Open Sans"/>
          <w:bCs/>
          <w:sz w:val="20"/>
          <w:szCs w:val="20"/>
        </w:rPr>
        <w:t>.</w:t>
      </w:r>
    </w:p>
    <w:p w14:paraId="68D6CBD1" w14:textId="77777777" w:rsidR="008E2149" w:rsidRPr="004A4608" w:rsidRDefault="008E2149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sz w:val="20"/>
          <w:szCs w:val="20"/>
        </w:rPr>
      </w:pPr>
    </w:p>
    <w:p w14:paraId="666081BB" w14:textId="77777777" w:rsidR="008E2149" w:rsidRPr="004A4608" w:rsidRDefault="008E2149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sz w:val="20"/>
          <w:szCs w:val="20"/>
        </w:rPr>
      </w:pPr>
    </w:p>
    <w:p w14:paraId="6B16FE7A" w14:textId="77777777" w:rsidR="008E2149" w:rsidRPr="004A4608" w:rsidRDefault="008E2149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sz w:val="20"/>
          <w:szCs w:val="20"/>
        </w:rPr>
      </w:pPr>
    </w:p>
    <w:p w14:paraId="29518CFB" w14:textId="77777777" w:rsidR="008E2149" w:rsidRPr="004A4608" w:rsidRDefault="008E2149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/>
          <w:sz w:val="20"/>
          <w:szCs w:val="20"/>
        </w:rPr>
      </w:pPr>
    </w:p>
    <w:p w14:paraId="3E0364E9" w14:textId="62FEFE67" w:rsidR="00422085" w:rsidRPr="004A4608" w:rsidRDefault="00422085" w:rsidP="00BB7A1C">
      <w:pPr>
        <w:pStyle w:val="Listenabsatz"/>
        <w:spacing w:line="360" w:lineRule="auto"/>
        <w:ind w:left="0"/>
        <w:jc w:val="both"/>
        <w:rPr>
          <w:rFonts w:ascii="Open Sans" w:hAnsi="Open Sans" w:cs="Open Sans"/>
          <w:bCs/>
          <w:sz w:val="20"/>
          <w:szCs w:val="20"/>
        </w:rPr>
      </w:pPr>
    </w:p>
    <w:tbl>
      <w:tblPr>
        <w:tblStyle w:val="Tabellenraster"/>
        <w:tblpPr w:leftFromText="141" w:rightFromText="141" w:vertAnchor="page" w:horzAnchor="margin" w:tblpY="1837"/>
        <w:tblW w:w="14596" w:type="dxa"/>
        <w:tblLayout w:type="fixed"/>
        <w:tblLook w:val="04A0" w:firstRow="1" w:lastRow="0" w:firstColumn="1" w:lastColumn="0" w:noHBand="0" w:noVBand="1"/>
      </w:tblPr>
      <w:tblGrid>
        <w:gridCol w:w="1001"/>
        <w:gridCol w:w="1252"/>
        <w:gridCol w:w="1656"/>
        <w:gridCol w:w="1331"/>
        <w:gridCol w:w="7513"/>
        <w:gridCol w:w="1843"/>
      </w:tblGrid>
      <w:tr w:rsidR="00422085" w:rsidRPr="004A4608" w14:paraId="68ABC647" w14:textId="77777777" w:rsidTr="0017620C">
        <w:trPr>
          <w:trHeight w:val="460"/>
        </w:trPr>
        <w:tc>
          <w:tcPr>
            <w:tcW w:w="1001" w:type="dxa"/>
          </w:tcPr>
          <w:p w14:paraId="234305FA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Zeit/ Minuten</w:t>
            </w:r>
          </w:p>
        </w:tc>
        <w:tc>
          <w:tcPr>
            <w:tcW w:w="1252" w:type="dxa"/>
          </w:tcPr>
          <w:p w14:paraId="5D491EA9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b/>
                <w:sz w:val="20"/>
                <w:szCs w:val="20"/>
              </w:rPr>
              <w:t>Phase</w:t>
            </w:r>
          </w:p>
        </w:tc>
        <w:tc>
          <w:tcPr>
            <w:tcW w:w="1656" w:type="dxa"/>
          </w:tcPr>
          <w:p w14:paraId="592A273D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b/>
                <w:sz w:val="20"/>
                <w:szCs w:val="20"/>
              </w:rPr>
              <w:t>Funktion</w:t>
            </w:r>
          </w:p>
        </w:tc>
        <w:tc>
          <w:tcPr>
            <w:tcW w:w="1331" w:type="dxa"/>
          </w:tcPr>
          <w:p w14:paraId="413033F0" w14:textId="37ABFE19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b/>
                <w:sz w:val="20"/>
                <w:szCs w:val="20"/>
              </w:rPr>
              <w:t>Sozialform</w:t>
            </w:r>
            <w:r w:rsidR="006F0C95" w:rsidRPr="004A4608">
              <w:rPr>
                <w:rFonts w:ascii="Open Sans" w:hAnsi="Open Sans" w:cs="Open Sans"/>
                <w:b/>
                <w:sz w:val="20"/>
                <w:szCs w:val="20"/>
              </w:rPr>
              <w:t>/Methode</w:t>
            </w:r>
          </w:p>
        </w:tc>
        <w:tc>
          <w:tcPr>
            <w:tcW w:w="7513" w:type="dxa"/>
          </w:tcPr>
          <w:p w14:paraId="714563CA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b/>
                <w:sz w:val="20"/>
                <w:szCs w:val="20"/>
              </w:rPr>
              <w:t xml:space="preserve">Inhalt </w:t>
            </w:r>
          </w:p>
        </w:tc>
        <w:tc>
          <w:tcPr>
            <w:tcW w:w="1843" w:type="dxa"/>
          </w:tcPr>
          <w:p w14:paraId="0E1221EA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b/>
                <w:sz w:val="20"/>
                <w:szCs w:val="20"/>
              </w:rPr>
              <w:t>Medien</w:t>
            </w:r>
          </w:p>
        </w:tc>
      </w:tr>
      <w:tr w:rsidR="00243F21" w:rsidRPr="004A4608" w14:paraId="1BA74DDD" w14:textId="77777777" w:rsidTr="0017620C">
        <w:trPr>
          <w:trHeight w:val="460"/>
        </w:trPr>
        <w:tc>
          <w:tcPr>
            <w:tcW w:w="1001" w:type="dxa"/>
          </w:tcPr>
          <w:p w14:paraId="4DC4D57B" w14:textId="77777777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15min</w:t>
            </w:r>
          </w:p>
          <w:p w14:paraId="5030DE4B" w14:textId="34DC1F6B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(15min)</w:t>
            </w:r>
          </w:p>
        </w:tc>
        <w:tc>
          <w:tcPr>
            <w:tcW w:w="1252" w:type="dxa"/>
          </w:tcPr>
          <w:p w14:paraId="7DCCD655" w14:textId="102491E6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Erarbeitung/SE</w:t>
            </w:r>
          </w:p>
        </w:tc>
        <w:tc>
          <w:tcPr>
            <w:tcW w:w="1656" w:type="dxa"/>
          </w:tcPr>
          <w:p w14:paraId="36477B15" w14:textId="1E51BDC0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 Wesenszug 2</w:t>
            </w:r>
          </w:p>
        </w:tc>
        <w:tc>
          <w:tcPr>
            <w:tcW w:w="1331" w:type="dxa"/>
          </w:tcPr>
          <w:p w14:paraId="6F49A660" w14:textId="4D69DDC9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SE in PA</w:t>
            </w:r>
          </w:p>
        </w:tc>
        <w:tc>
          <w:tcPr>
            <w:tcW w:w="7513" w:type="dxa"/>
          </w:tcPr>
          <w:p w14:paraId="7780913B" w14:textId="606EB1CC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Anwendung des bisherigen Wissens. Eigenständige Erarbeitung eines Quantenradiere</w:t>
            </w:r>
            <w:r w:rsidR="003E00A0" w:rsidRPr="004A460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s am Doppelspalt. Herleitung des zweiten Wesenszugs Komplementarität</w:t>
            </w:r>
          </w:p>
        </w:tc>
        <w:tc>
          <w:tcPr>
            <w:tcW w:w="1843" w:type="dxa"/>
          </w:tcPr>
          <w:p w14:paraId="1A50750E" w14:textId="378D2532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PPP, Simulation, AB</w:t>
            </w:r>
          </w:p>
        </w:tc>
      </w:tr>
      <w:tr w:rsidR="00243F21" w:rsidRPr="004A4608" w14:paraId="73AE4015" w14:textId="77777777" w:rsidTr="0017620C">
        <w:trPr>
          <w:trHeight w:val="460"/>
        </w:trPr>
        <w:tc>
          <w:tcPr>
            <w:tcW w:w="1001" w:type="dxa"/>
          </w:tcPr>
          <w:p w14:paraId="02D0B376" w14:textId="2D5CDEC3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1</w:t>
            </w:r>
            <w:r w:rsidR="00C21A66" w:rsidRPr="004A460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20C0680C" w14:textId="0778C20F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(2</w:t>
            </w:r>
            <w:r w:rsidR="00C21A66" w:rsidRPr="004A4608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1064521B" w14:textId="6BCF3C12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Ergebnissiche</w:t>
            </w:r>
            <w:r w:rsidR="005A40DA" w:rsidRPr="004A460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ung</w:t>
            </w:r>
          </w:p>
        </w:tc>
        <w:tc>
          <w:tcPr>
            <w:tcW w:w="1656" w:type="dxa"/>
          </w:tcPr>
          <w:p w14:paraId="73AE7CB2" w14:textId="1F81053F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Ergebnissicherung Wesenszug 2</w:t>
            </w:r>
          </w:p>
        </w:tc>
        <w:tc>
          <w:tcPr>
            <w:tcW w:w="1331" w:type="dxa"/>
          </w:tcPr>
          <w:p w14:paraId="07F29CEC" w14:textId="75788B90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017ABEB6" w14:textId="0B36CFA7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Besprechung des Quantenradierers am Doppelspalt und Ergebnissicherung des zweiten Wesenszug Komplementarität</w:t>
            </w:r>
          </w:p>
        </w:tc>
        <w:tc>
          <w:tcPr>
            <w:tcW w:w="1843" w:type="dxa"/>
          </w:tcPr>
          <w:p w14:paraId="5CF30FB3" w14:textId="26F2A384" w:rsidR="00243F21" w:rsidRPr="004A4608" w:rsidRDefault="00243F2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PPP, AB</w:t>
            </w:r>
          </w:p>
        </w:tc>
      </w:tr>
      <w:tr w:rsidR="00422085" w:rsidRPr="004A4608" w14:paraId="0CA86658" w14:textId="77777777" w:rsidTr="0017620C">
        <w:trPr>
          <w:trHeight w:val="460"/>
        </w:trPr>
        <w:tc>
          <w:tcPr>
            <w:tcW w:w="1001" w:type="dxa"/>
          </w:tcPr>
          <w:p w14:paraId="3DEC4377" w14:textId="44D16FFE" w:rsidR="00EB28BD" w:rsidRPr="004A4608" w:rsidRDefault="00C21A6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5</w:t>
            </w:r>
            <w:r w:rsidR="003D6101" w:rsidRPr="004A4608">
              <w:rPr>
                <w:rFonts w:ascii="Open Sans" w:hAnsi="Open Sans" w:cs="Open Sans"/>
                <w:sz w:val="20"/>
                <w:szCs w:val="20"/>
              </w:rPr>
              <w:t>min</w:t>
            </w:r>
          </w:p>
          <w:p w14:paraId="2BA67C3D" w14:textId="04674AEF" w:rsidR="003D6101" w:rsidRPr="004A4608" w:rsidRDefault="003D610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(3</w:t>
            </w:r>
            <w:r w:rsidR="00C21A66" w:rsidRPr="004A460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2CF8F000" w14:textId="58F65E81" w:rsidR="00EB28BD" w:rsidRPr="004A4608" w:rsidRDefault="003D610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</w:t>
            </w:r>
          </w:p>
        </w:tc>
        <w:tc>
          <w:tcPr>
            <w:tcW w:w="1656" w:type="dxa"/>
          </w:tcPr>
          <w:p w14:paraId="651C008C" w14:textId="06C8C456" w:rsidR="00422085" w:rsidRPr="004A4608" w:rsidRDefault="003D610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Determinismus Erarbeitung</w:t>
            </w:r>
          </w:p>
        </w:tc>
        <w:tc>
          <w:tcPr>
            <w:tcW w:w="1331" w:type="dxa"/>
          </w:tcPr>
          <w:p w14:paraId="7E4DDECF" w14:textId="2D6918BB" w:rsidR="00422085" w:rsidRPr="004A4608" w:rsidRDefault="003D610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Think-Pair-Share</w:t>
            </w:r>
          </w:p>
        </w:tc>
        <w:tc>
          <w:tcPr>
            <w:tcW w:w="7513" w:type="dxa"/>
          </w:tcPr>
          <w:p w14:paraId="0C69B73E" w14:textId="3D374003" w:rsidR="00422085" w:rsidRPr="004A4608" w:rsidRDefault="003D610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 des Begriffes Determinismus an Beispiel Würfelwurf und Lotto</w:t>
            </w:r>
          </w:p>
        </w:tc>
        <w:tc>
          <w:tcPr>
            <w:tcW w:w="1843" w:type="dxa"/>
          </w:tcPr>
          <w:p w14:paraId="4EA78BBB" w14:textId="2A362693" w:rsidR="00422085" w:rsidRPr="004A4608" w:rsidRDefault="003D6101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422085" w:rsidRPr="004A4608" w14:paraId="10036EB2" w14:textId="77777777" w:rsidTr="0017620C">
        <w:trPr>
          <w:trHeight w:val="460"/>
        </w:trPr>
        <w:tc>
          <w:tcPr>
            <w:tcW w:w="1001" w:type="dxa"/>
          </w:tcPr>
          <w:p w14:paraId="29E0AFCC" w14:textId="0B0C5EDE" w:rsidR="0017620C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15</w:t>
            </w:r>
            <w:r w:rsidR="00EB28BD"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</w:t>
            </w:r>
          </w:p>
          <w:p w14:paraId="4747BB9F" w14:textId="4880FDFC" w:rsidR="00EB28BD" w:rsidRPr="004A4608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</w:t>
            </w:r>
            <w:r w:rsidR="00547326" w:rsidRPr="004A4608">
              <w:rPr>
                <w:rFonts w:ascii="Open Sans" w:hAnsi="Open Sans" w:cs="Open Sans"/>
                <w:sz w:val="20"/>
                <w:szCs w:val="20"/>
              </w:rPr>
              <w:t>45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25F5981B" w14:textId="0016C031" w:rsidR="00422085" w:rsidRPr="004A4608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 in SE</w:t>
            </w:r>
          </w:p>
        </w:tc>
        <w:tc>
          <w:tcPr>
            <w:tcW w:w="1656" w:type="dxa"/>
          </w:tcPr>
          <w:p w14:paraId="59D91960" w14:textId="5667E704" w:rsidR="00422085" w:rsidRPr="004A4608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 Wesenszug 3,4</w:t>
            </w:r>
          </w:p>
        </w:tc>
        <w:tc>
          <w:tcPr>
            <w:tcW w:w="1331" w:type="dxa"/>
          </w:tcPr>
          <w:p w14:paraId="7B5CCE70" w14:textId="7D2C013D" w:rsidR="00422085" w:rsidRPr="004A4608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SE/PA</w:t>
            </w:r>
          </w:p>
        </w:tc>
        <w:tc>
          <w:tcPr>
            <w:tcW w:w="7513" w:type="dxa"/>
          </w:tcPr>
          <w:p w14:paraId="73735943" w14:textId="4A2F4098" w:rsidR="00422085" w:rsidRPr="004A4608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Arbeit mit der Simulation zum Doppelspaltexperiment mit Einzelphotonen wie mit einem Schülerexperiment und Erarbeitung de</w:t>
            </w:r>
            <w:r w:rsidR="000161A2" w:rsidRPr="004A4608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 Wesensz</w:t>
            </w:r>
            <w:r w:rsidR="000161A2" w:rsidRPr="004A4608">
              <w:rPr>
                <w:rFonts w:ascii="Open Sans" w:hAnsi="Open Sans" w:cs="Open Sans"/>
                <w:sz w:val="20"/>
                <w:szCs w:val="20"/>
              </w:rPr>
              <w:t>ugs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161A2" w:rsidRPr="004A4608">
              <w:rPr>
                <w:rFonts w:ascii="Open Sans" w:hAnsi="Open Sans" w:cs="Open Sans"/>
                <w:sz w:val="20"/>
                <w:szCs w:val="20"/>
              </w:rPr>
              <w:t>Statistischer Charakter</w:t>
            </w:r>
          </w:p>
        </w:tc>
        <w:tc>
          <w:tcPr>
            <w:tcW w:w="1843" w:type="dxa"/>
          </w:tcPr>
          <w:p w14:paraId="2B3449E4" w14:textId="5EABBBE7" w:rsidR="00422085" w:rsidRPr="004A4608" w:rsidRDefault="00EB28BD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Simulation, AB</w:t>
            </w:r>
          </w:p>
        </w:tc>
      </w:tr>
      <w:tr w:rsidR="00422085" w:rsidRPr="004A4608" w14:paraId="1A439407" w14:textId="77777777" w:rsidTr="0017620C">
        <w:trPr>
          <w:trHeight w:val="460"/>
        </w:trPr>
        <w:tc>
          <w:tcPr>
            <w:tcW w:w="1001" w:type="dxa"/>
          </w:tcPr>
          <w:p w14:paraId="0E5F16B0" w14:textId="1A15553F" w:rsidR="00422085" w:rsidRPr="004A4608" w:rsidRDefault="00CF26C4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  <w:r w:rsidR="00B67E96"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5</w:t>
            </w:r>
            <w:r w:rsidR="0059412A"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</w:t>
            </w:r>
          </w:p>
          <w:p w14:paraId="7FCEFA7E" w14:textId="318EFAB2" w:rsidR="0059412A" w:rsidRPr="004A4608" w:rsidRDefault="0059412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</w:t>
            </w:r>
            <w:r w:rsidR="00E85B4F" w:rsidRPr="004A4608">
              <w:rPr>
                <w:rFonts w:ascii="Open Sans" w:hAnsi="Open Sans" w:cs="Open Sans"/>
                <w:sz w:val="20"/>
                <w:szCs w:val="20"/>
              </w:rPr>
              <w:t>6</w:t>
            </w:r>
            <w:r w:rsidR="00547326" w:rsidRPr="004A4608"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426CBB05" w14:textId="62A99173" w:rsidR="00422085" w:rsidRPr="004A4608" w:rsidRDefault="0059412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Ergebnissicherung</w:t>
            </w:r>
          </w:p>
        </w:tc>
        <w:tc>
          <w:tcPr>
            <w:tcW w:w="1656" w:type="dxa"/>
          </w:tcPr>
          <w:p w14:paraId="604F8369" w14:textId="780E2E37" w:rsidR="00422085" w:rsidRPr="004A4608" w:rsidRDefault="00CF26C4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Besprechung SE, </w:t>
            </w:r>
            <w:r w:rsidR="0059412A" w:rsidRPr="004A4608">
              <w:rPr>
                <w:rFonts w:ascii="Open Sans" w:hAnsi="Open Sans" w:cs="Open Sans"/>
                <w:sz w:val="20"/>
                <w:szCs w:val="20"/>
              </w:rPr>
              <w:t>Festhalten Wesenszug 3</w:t>
            </w:r>
          </w:p>
        </w:tc>
        <w:tc>
          <w:tcPr>
            <w:tcW w:w="1331" w:type="dxa"/>
          </w:tcPr>
          <w:p w14:paraId="65712FC1" w14:textId="3D5FC929" w:rsidR="00422085" w:rsidRPr="004A4608" w:rsidRDefault="0059412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4241EC6F" w14:textId="4CB47B1C" w:rsidR="00422085" w:rsidRPr="004A4608" w:rsidRDefault="0059412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Besprechung der Ergebnisse des Schülerexperiments und Formulierung </w:t>
            </w:r>
            <w:r w:rsidR="00CF26C4" w:rsidRPr="004A4608">
              <w:rPr>
                <w:rFonts w:ascii="Open Sans" w:hAnsi="Open Sans" w:cs="Open Sans"/>
                <w:sz w:val="20"/>
                <w:szCs w:val="20"/>
              </w:rPr>
              <w:t>des Wesenszugs Statistischer Charakter</w:t>
            </w:r>
          </w:p>
        </w:tc>
        <w:tc>
          <w:tcPr>
            <w:tcW w:w="1843" w:type="dxa"/>
          </w:tcPr>
          <w:p w14:paraId="761838AF" w14:textId="4F547D59" w:rsidR="00422085" w:rsidRPr="004A4608" w:rsidRDefault="0059412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PPP, </w:t>
            </w:r>
            <w:r w:rsidR="00CF26C4" w:rsidRPr="004A4608">
              <w:rPr>
                <w:rFonts w:ascii="Open Sans" w:hAnsi="Open Sans" w:cs="Open Sans"/>
                <w:sz w:val="20"/>
                <w:szCs w:val="20"/>
              </w:rPr>
              <w:t>AB</w:t>
            </w:r>
          </w:p>
        </w:tc>
      </w:tr>
      <w:tr w:rsidR="00422085" w:rsidRPr="004A4608" w14:paraId="3D65096C" w14:textId="77777777" w:rsidTr="0017620C">
        <w:trPr>
          <w:trHeight w:val="460"/>
        </w:trPr>
        <w:tc>
          <w:tcPr>
            <w:tcW w:w="1001" w:type="dxa"/>
          </w:tcPr>
          <w:p w14:paraId="2D928D29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10min</w:t>
            </w:r>
          </w:p>
          <w:p w14:paraId="6A3E35B5" w14:textId="50F2840A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E85B4F"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7</w:t>
            </w:r>
            <w:r w:rsidR="00547326"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0</w:t>
            </w:r>
            <w:r w:rsidRPr="004A460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6F9F5C75" w14:textId="6EEF19AE" w:rsidR="00422085" w:rsidRPr="004A4608" w:rsidRDefault="00CF26C4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</w:t>
            </w:r>
          </w:p>
        </w:tc>
        <w:tc>
          <w:tcPr>
            <w:tcW w:w="1656" w:type="dxa"/>
          </w:tcPr>
          <w:p w14:paraId="4FAAF06F" w14:textId="670102B1" w:rsidR="00422085" w:rsidRPr="004A4608" w:rsidRDefault="00CF26C4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Erarbeitung </w:t>
            </w:r>
          </w:p>
        </w:tc>
        <w:tc>
          <w:tcPr>
            <w:tcW w:w="1331" w:type="dxa"/>
          </w:tcPr>
          <w:p w14:paraId="6BD6BCF2" w14:textId="77777777" w:rsidR="00422085" w:rsidRPr="004A4608" w:rsidRDefault="00422085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281B7BF6" w14:textId="5AA42A8B" w:rsidR="00422085" w:rsidRPr="004A4608" w:rsidRDefault="00CF26C4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Erarbeitung</w:t>
            </w:r>
            <w:r w:rsidR="00BE1833" w:rsidRPr="004A4608">
              <w:rPr>
                <w:rFonts w:ascii="Open Sans" w:hAnsi="Open Sans" w:cs="Open Sans"/>
                <w:sz w:val="20"/>
                <w:szCs w:val="20"/>
              </w:rPr>
              <w:t xml:space="preserve"> des dritten Wesenszug Eindeutige Messergebnisse gemeinsam im Plenum im Unterrichtsgespräch</w:t>
            </w:r>
          </w:p>
        </w:tc>
        <w:tc>
          <w:tcPr>
            <w:tcW w:w="1843" w:type="dxa"/>
          </w:tcPr>
          <w:p w14:paraId="69495594" w14:textId="0752C4AF" w:rsidR="00422085" w:rsidRPr="004A4608" w:rsidRDefault="0059412A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422085" w:rsidRPr="004A4608" w14:paraId="69199FF5" w14:textId="77777777" w:rsidTr="0017620C">
        <w:trPr>
          <w:trHeight w:val="460"/>
        </w:trPr>
        <w:tc>
          <w:tcPr>
            <w:tcW w:w="1001" w:type="dxa"/>
          </w:tcPr>
          <w:p w14:paraId="617B3CD2" w14:textId="77777777" w:rsidR="009061B2" w:rsidRPr="004A4608" w:rsidRDefault="00BE1833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5min</w:t>
            </w:r>
          </w:p>
          <w:p w14:paraId="48E7C9AF" w14:textId="14A6EC92" w:rsidR="00BE1833" w:rsidRPr="004A4608" w:rsidRDefault="00BE1833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</w:t>
            </w:r>
            <w:r w:rsidR="00547326" w:rsidRPr="004A4608">
              <w:rPr>
                <w:rFonts w:ascii="Open Sans" w:hAnsi="Open Sans" w:cs="Open Sans"/>
                <w:sz w:val="20"/>
                <w:szCs w:val="20"/>
              </w:rPr>
              <w:t>75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min)</w:t>
            </w:r>
          </w:p>
        </w:tc>
        <w:tc>
          <w:tcPr>
            <w:tcW w:w="1252" w:type="dxa"/>
          </w:tcPr>
          <w:p w14:paraId="7F311770" w14:textId="68C37C52" w:rsidR="00422085" w:rsidRPr="004A4608" w:rsidRDefault="00BE1833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Ergebnissiche</w:t>
            </w:r>
            <w:r w:rsidR="002F3CDB" w:rsidRPr="004A460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4A4608">
              <w:rPr>
                <w:rFonts w:ascii="Open Sans" w:hAnsi="Open Sans" w:cs="Open Sans"/>
                <w:sz w:val="20"/>
                <w:szCs w:val="20"/>
              </w:rPr>
              <w:t>ung</w:t>
            </w:r>
          </w:p>
        </w:tc>
        <w:tc>
          <w:tcPr>
            <w:tcW w:w="1656" w:type="dxa"/>
          </w:tcPr>
          <w:p w14:paraId="195D0DDD" w14:textId="7304258E" w:rsidR="00422085" w:rsidRPr="004A4608" w:rsidRDefault="00BE1833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Festhalten Wesenszug 4</w:t>
            </w:r>
          </w:p>
        </w:tc>
        <w:tc>
          <w:tcPr>
            <w:tcW w:w="1331" w:type="dxa"/>
          </w:tcPr>
          <w:p w14:paraId="21E99999" w14:textId="24FEBEFF" w:rsidR="00422085" w:rsidRPr="004A4608" w:rsidRDefault="00BE1833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UG</w:t>
            </w:r>
          </w:p>
        </w:tc>
        <w:tc>
          <w:tcPr>
            <w:tcW w:w="7513" w:type="dxa"/>
          </w:tcPr>
          <w:p w14:paraId="02975D56" w14:textId="1DFF2AD6" w:rsidR="00422085" w:rsidRPr="004A4608" w:rsidRDefault="00BE1833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Formulierung des vierten Wesenszug Eindeutige Messergebnisse</w:t>
            </w:r>
          </w:p>
        </w:tc>
        <w:tc>
          <w:tcPr>
            <w:tcW w:w="1843" w:type="dxa"/>
          </w:tcPr>
          <w:p w14:paraId="03E4518F" w14:textId="0AE74573" w:rsidR="00422085" w:rsidRPr="004A4608" w:rsidRDefault="00155C7E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PPP</w:t>
            </w:r>
          </w:p>
        </w:tc>
      </w:tr>
      <w:tr w:rsidR="00547326" w:rsidRPr="004A4608" w14:paraId="6135939A" w14:textId="77777777" w:rsidTr="00547326">
        <w:trPr>
          <w:trHeight w:val="460"/>
        </w:trPr>
        <w:tc>
          <w:tcPr>
            <w:tcW w:w="1001" w:type="dxa"/>
            <w:shd w:val="clear" w:color="auto" w:fill="D9D9D9" w:themeFill="background1" w:themeFillShade="D9"/>
          </w:tcPr>
          <w:p w14:paraId="6B309593" w14:textId="77777777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15min</w:t>
            </w:r>
          </w:p>
          <w:p w14:paraId="7E68BE30" w14:textId="1F37B792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(90min)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14:paraId="135533D2" w14:textId="1A39A972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Übung/Anwendung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46B1C6D8" w14:textId="62FCB33D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Festigung Wesenszüge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D263838" w14:textId="5E072AA5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EA/PA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2E477777" w14:textId="7AE7E140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>Übung der kennengelernten Wesenszüge mit Anwendungsaufgaben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BECFC6" w14:textId="19D80D70" w:rsidR="00547326" w:rsidRPr="004A4608" w:rsidRDefault="00547326" w:rsidP="008B305A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PPP/Quiz auf bspw. </w:t>
            </w:r>
            <w:proofErr w:type="spellStart"/>
            <w:r w:rsidRPr="004A4608">
              <w:rPr>
                <w:rFonts w:ascii="Open Sans" w:hAnsi="Open Sans" w:cs="Open Sans"/>
                <w:sz w:val="20"/>
                <w:szCs w:val="20"/>
              </w:rPr>
              <w:t>Menti</w:t>
            </w:r>
            <w:proofErr w:type="spellEnd"/>
            <w:r w:rsidRPr="004A4608">
              <w:rPr>
                <w:rFonts w:ascii="Open Sans" w:hAnsi="Open Sans" w:cs="Open Sans"/>
                <w:sz w:val="20"/>
                <w:szCs w:val="20"/>
              </w:rPr>
              <w:t xml:space="preserve"> o.Ä.</w:t>
            </w:r>
          </w:p>
        </w:tc>
      </w:tr>
    </w:tbl>
    <w:p w14:paraId="1B6308C4" w14:textId="716E4899" w:rsidR="00CF4768" w:rsidRPr="004A4608" w:rsidRDefault="00422085" w:rsidP="00DE664F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A4608">
        <w:rPr>
          <w:rFonts w:ascii="Open Sans" w:hAnsi="Open Sans" w:cs="Open Sans"/>
          <w:sz w:val="20"/>
          <w:szCs w:val="20"/>
        </w:rPr>
        <w:t>LV= Lehrervortrag;</w:t>
      </w:r>
      <w:r w:rsidRPr="004A4608">
        <w:rPr>
          <w:rFonts w:ascii="Open Sans" w:hAnsi="Open Sans" w:cs="Open Sans"/>
          <w:sz w:val="20"/>
          <w:szCs w:val="20"/>
        </w:rPr>
        <w:tab/>
      </w:r>
      <w:r w:rsidRPr="004A4608">
        <w:rPr>
          <w:rFonts w:ascii="Open Sans" w:hAnsi="Open Sans" w:cs="Open Sans"/>
          <w:sz w:val="20"/>
          <w:szCs w:val="20"/>
        </w:rPr>
        <w:tab/>
        <w:t>UG= Unterrichtsgespräch;</w:t>
      </w:r>
      <w:r w:rsidRPr="004A4608">
        <w:rPr>
          <w:rFonts w:ascii="Open Sans" w:hAnsi="Open Sans" w:cs="Open Sans"/>
          <w:sz w:val="20"/>
          <w:szCs w:val="20"/>
        </w:rPr>
        <w:tab/>
      </w:r>
      <w:r w:rsidRPr="004A4608">
        <w:rPr>
          <w:rFonts w:ascii="Open Sans" w:hAnsi="Open Sans" w:cs="Open Sans"/>
          <w:sz w:val="20"/>
          <w:szCs w:val="20"/>
        </w:rPr>
        <w:tab/>
      </w:r>
      <w:r w:rsidR="00DE664F" w:rsidRPr="004A4608">
        <w:rPr>
          <w:rFonts w:ascii="Open Sans" w:hAnsi="Open Sans" w:cs="Open Sans"/>
          <w:sz w:val="20"/>
          <w:szCs w:val="20"/>
        </w:rPr>
        <w:t>GA= Gruppenarbeit;</w:t>
      </w:r>
      <w:r w:rsidR="00DE664F" w:rsidRPr="004A4608">
        <w:rPr>
          <w:rFonts w:ascii="Open Sans" w:hAnsi="Open Sans" w:cs="Open Sans"/>
          <w:sz w:val="20"/>
          <w:szCs w:val="20"/>
        </w:rPr>
        <w:tab/>
      </w:r>
      <w:r w:rsidR="00DE664F" w:rsidRPr="004A4608">
        <w:rPr>
          <w:rFonts w:ascii="Open Sans" w:hAnsi="Open Sans" w:cs="Open Sans"/>
          <w:sz w:val="20"/>
          <w:szCs w:val="20"/>
        </w:rPr>
        <w:tab/>
        <w:t>EA=Einzelarbeit</w:t>
      </w:r>
      <w:r w:rsidR="00DE664F" w:rsidRPr="004A4608">
        <w:rPr>
          <w:rFonts w:ascii="Open Sans" w:hAnsi="Open Sans" w:cs="Open Sans"/>
          <w:sz w:val="20"/>
          <w:szCs w:val="20"/>
        </w:rPr>
        <w:tab/>
        <w:t>PA=Partnerarbeit</w:t>
      </w:r>
    </w:p>
    <w:p w14:paraId="2EE41AF5" w14:textId="33146183" w:rsidR="00243F21" w:rsidRPr="004A4608" w:rsidRDefault="00243F21" w:rsidP="00DE664F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A4608">
        <w:rPr>
          <w:rFonts w:ascii="Open Sans" w:hAnsi="Open Sans" w:cs="Open Sans"/>
          <w:sz w:val="20"/>
          <w:szCs w:val="20"/>
        </w:rPr>
        <w:t>SE= Schülerexperiment</w:t>
      </w:r>
    </w:p>
    <w:p w14:paraId="4BCC5C86" w14:textId="506EB1CF" w:rsidR="00547326" w:rsidRPr="004A4608" w:rsidRDefault="00547326" w:rsidP="00547326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4A4608">
        <w:rPr>
          <w:rFonts w:ascii="Open Sans" w:hAnsi="Open Sans" w:cs="Open Sans"/>
          <w:sz w:val="20"/>
          <w:szCs w:val="20"/>
        </w:rPr>
        <w:t xml:space="preserve">Die grau hinterlegte Übungsphase ist </w:t>
      </w:r>
      <w:r w:rsidR="00297727" w:rsidRPr="004A4608">
        <w:rPr>
          <w:rFonts w:ascii="Open Sans" w:hAnsi="Open Sans" w:cs="Open Sans"/>
          <w:sz w:val="20"/>
          <w:szCs w:val="20"/>
        </w:rPr>
        <w:t xml:space="preserve">erst </w:t>
      </w:r>
      <w:r w:rsidRPr="004A4608">
        <w:rPr>
          <w:rFonts w:ascii="Open Sans" w:hAnsi="Open Sans" w:cs="Open Sans"/>
          <w:sz w:val="20"/>
          <w:szCs w:val="20"/>
        </w:rPr>
        <w:t xml:space="preserve">bei der Überarbeitung der Zeitplanung nach der Erprobung und Evaluation dazu gekommen. In der ursprünglichen Unterrichtsplanung war für diese Phase keine Zeit mehr. Die Zeit für diese Phase wurde gewonnen, </w:t>
      </w:r>
      <w:r w:rsidR="00E53B5C" w:rsidRPr="004A4608">
        <w:rPr>
          <w:rFonts w:ascii="Open Sans" w:hAnsi="Open Sans" w:cs="Open Sans"/>
          <w:sz w:val="20"/>
          <w:szCs w:val="20"/>
        </w:rPr>
        <w:t>durch die Erkenntnis der Evaluation, dass die Erarbeitung</w:t>
      </w:r>
      <w:r w:rsidRPr="004A4608">
        <w:rPr>
          <w:rFonts w:ascii="Open Sans" w:hAnsi="Open Sans" w:cs="Open Sans"/>
          <w:sz w:val="20"/>
          <w:szCs w:val="20"/>
        </w:rPr>
        <w:t xml:space="preserve"> des statistischen Charakters deutlich weniger Zeit benötigt, als</w:t>
      </w:r>
      <w:r w:rsidR="00E53B5C" w:rsidRPr="004A4608">
        <w:rPr>
          <w:rFonts w:ascii="Open Sans" w:hAnsi="Open Sans" w:cs="Open Sans"/>
          <w:sz w:val="20"/>
          <w:szCs w:val="20"/>
        </w:rPr>
        <w:t xml:space="preserve"> zur Erprobung</w:t>
      </w:r>
      <w:r w:rsidRPr="004A4608">
        <w:rPr>
          <w:rFonts w:ascii="Open Sans" w:hAnsi="Open Sans" w:cs="Open Sans"/>
          <w:sz w:val="20"/>
          <w:szCs w:val="20"/>
        </w:rPr>
        <w:t xml:space="preserve"> angedacht.</w:t>
      </w:r>
    </w:p>
    <w:p w14:paraId="2FEDAB2B" w14:textId="77777777" w:rsidR="00547326" w:rsidRPr="00DE664F" w:rsidRDefault="00547326" w:rsidP="00DE664F">
      <w:pPr>
        <w:spacing w:line="360" w:lineRule="auto"/>
        <w:jc w:val="both"/>
        <w:rPr>
          <w:rFonts w:ascii="Arial" w:hAnsi="Arial" w:cs="Arial"/>
        </w:rPr>
      </w:pPr>
    </w:p>
    <w:sectPr w:rsidR="00547326" w:rsidRPr="00DE664F" w:rsidSect="00422085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2230B" w14:textId="77777777" w:rsidR="00CD4715" w:rsidRDefault="00CD4715" w:rsidP="00787CBB">
      <w:pPr>
        <w:spacing w:after="0" w:line="240" w:lineRule="auto"/>
      </w:pPr>
      <w:r>
        <w:separator/>
      </w:r>
    </w:p>
  </w:endnote>
  <w:endnote w:type="continuationSeparator" w:id="0">
    <w:p w14:paraId="37C56684" w14:textId="77777777" w:rsidR="00CD4715" w:rsidRDefault="00CD4715" w:rsidP="0078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546319"/>
      <w:docPartObj>
        <w:docPartGallery w:val="Page Numbers (Bottom of Page)"/>
        <w:docPartUnique/>
      </w:docPartObj>
    </w:sdtPr>
    <w:sdtEndPr/>
    <w:sdtContent>
      <w:p w14:paraId="51221D26" w14:textId="02271FDC" w:rsidR="00787CBB" w:rsidRDefault="00787CB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0EEDDF" w14:textId="77777777" w:rsidR="00101122" w:rsidRPr="00101122" w:rsidRDefault="00101122" w:rsidP="00101122">
    <w:pPr>
      <w:tabs>
        <w:tab w:val="center" w:pos="4536"/>
        <w:tab w:val="right" w:pos="9072"/>
      </w:tabs>
      <w:spacing w:after="0" w:line="240" w:lineRule="auto"/>
      <w:rPr>
        <w:rFonts w:ascii="Open Sans" w:eastAsia="Calibri" w:hAnsi="Open Sans" w:cs="Open Sans"/>
        <w:sz w:val="14"/>
      </w:rPr>
    </w:pPr>
    <w:r w:rsidRPr="00101122">
      <w:rPr>
        <w:rFonts w:ascii="Open Sans" w:eastAsia="Calibri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  <w:p w14:paraId="06CB256A" w14:textId="77777777" w:rsidR="00787CBB" w:rsidRDefault="00787C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0702" w14:textId="77777777" w:rsidR="00CD4715" w:rsidRDefault="00CD4715" w:rsidP="00787CBB">
      <w:pPr>
        <w:spacing w:after="0" w:line="240" w:lineRule="auto"/>
      </w:pPr>
      <w:r>
        <w:separator/>
      </w:r>
    </w:p>
  </w:footnote>
  <w:footnote w:type="continuationSeparator" w:id="0">
    <w:p w14:paraId="0ABFA785" w14:textId="77777777" w:rsidR="00CD4715" w:rsidRDefault="00CD4715" w:rsidP="0078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0BF8"/>
    <w:multiLevelType w:val="hybridMultilevel"/>
    <w:tmpl w:val="B6EC1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C02"/>
    <w:multiLevelType w:val="hybridMultilevel"/>
    <w:tmpl w:val="9C9C8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26C"/>
    <w:multiLevelType w:val="hybridMultilevel"/>
    <w:tmpl w:val="0E74CD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0C47"/>
    <w:multiLevelType w:val="hybridMultilevel"/>
    <w:tmpl w:val="416C27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75969"/>
    <w:multiLevelType w:val="hybridMultilevel"/>
    <w:tmpl w:val="7EF03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5"/>
    <w:rsid w:val="000161A2"/>
    <w:rsid w:val="0006307B"/>
    <w:rsid w:val="00096B31"/>
    <w:rsid w:val="00101122"/>
    <w:rsid w:val="0012755E"/>
    <w:rsid w:val="00155C7E"/>
    <w:rsid w:val="00176119"/>
    <w:rsid w:val="0017620C"/>
    <w:rsid w:val="0019351B"/>
    <w:rsid w:val="001B5EE7"/>
    <w:rsid w:val="001F682E"/>
    <w:rsid w:val="00243F21"/>
    <w:rsid w:val="002638F6"/>
    <w:rsid w:val="00297727"/>
    <w:rsid w:val="002F3CDB"/>
    <w:rsid w:val="0030557B"/>
    <w:rsid w:val="00336A3E"/>
    <w:rsid w:val="00394274"/>
    <w:rsid w:val="003C6D57"/>
    <w:rsid w:val="003D6101"/>
    <w:rsid w:val="003E00A0"/>
    <w:rsid w:val="00422085"/>
    <w:rsid w:val="0044387E"/>
    <w:rsid w:val="004754CC"/>
    <w:rsid w:val="00496FBD"/>
    <w:rsid w:val="004A4608"/>
    <w:rsid w:val="004D6C13"/>
    <w:rsid w:val="00502EDE"/>
    <w:rsid w:val="00547326"/>
    <w:rsid w:val="0059412A"/>
    <w:rsid w:val="005A40DA"/>
    <w:rsid w:val="005E6CFA"/>
    <w:rsid w:val="006100C1"/>
    <w:rsid w:val="006F0C95"/>
    <w:rsid w:val="006F467A"/>
    <w:rsid w:val="00741FBD"/>
    <w:rsid w:val="00787CBB"/>
    <w:rsid w:val="00791210"/>
    <w:rsid w:val="007A2319"/>
    <w:rsid w:val="007D0E25"/>
    <w:rsid w:val="0083390D"/>
    <w:rsid w:val="00876BFB"/>
    <w:rsid w:val="008870F4"/>
    <w:rsid w:val="008E2149"/>
    <w:rsid w:val="009061B2"/>
    <w:rsid w:val="00907B99"/>
    <w:rsid w:val="009B26F3"/>
    <w:rsid w:val="009E1B4E"/>
    <w:rsid w:val="00B42664"/>
    <w:rsid w:val="00B67E96"/>
    <w:rsid w:val="00B963CA"/>
    <w:rsid w:val="00BB7A1C"/>
    <w:rsid w:val="00BE1833"/>
    <w:rsid w:val="00C21A66"/>
    <w:rsid w:val="00CD4715"/>
    <w:rsid w:val="00CE57FE"/>
    <w:rsid w:val="00CF26C4"/>
    <w:rsid w:val="00CF4768"/>
    <w:rsid w:val="00D9330E"/>
    <w:rsid w:val="00DB0B50"/>
    <w:rsid w:val="00DD7A19"/>
    <w:rsid w:val="00DE664F"/>
    <w:rsid w:val="00DF1840"/>
    <w:rsid w:val="00E53B5C"/>
    <w:rsid w:val="00E85B4F"/>
    <w:rsid w:val="00EB28BD"/>
    <w:rsid w:val="00ED4F4B"/>
    <w:rsid w:val="00EF31CE"/>
    <w:rsid w:val="00E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465C0"/>
  <w15:chartTrackingRefBased/>
  <w15:docId w15:val="{3DE1208F-0EF0-4CA5-9547-F010E61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2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08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220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0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CBB"/>
  </w:style>
  <w:style w:type="paragraph" w:styleId="Fuzeile">
    <w:name w:val="footer"/>
    <w:basedOn w:val="Standard"/>
    <w:link w:val="FuzeileZchn"/>
    <w:uiPriority w:val="99"/>
    <w:unhideWhenUsed/>
    <w:rsid w:val="0078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4F69A-4D75-49F7-B393-CA50CFF5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Heine</dc:creator>
  <cp:keywords/>
  <dc:description/>
  <cp:lastModifiedBy>Schuster, Alexander</cp:lastModifiedBy>
  <cp:revision>5</cp:revision>
  <cp:lastPrinted>2023-12-08T14:11:00Z</cp:lastPrinted>
  <dcterms:created xsi:type="dcterms:W3CDTF">2024-09-29T10:01:00Z</dcterms:created>
  <dcterms:modified xsi:type="dcterms:W3CDTF">2024-10-16T21:15:00Z</dcterms:modified>
</cp:coreProperties>
</file>